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contextualSpacing w:val="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90" w:line="242" w:lineRule="auto"/>
        <w:ind w:left="0" w:right="12751"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Il libro di formato A4, composto 227 pagine in quadricromia, corredato di 447 foto in gran parte a colori, rilegato con copertina lucida in cartonato 4 colori, con risguardi riportanti all’inizio e alla fine vecchie foto di stazioni, ha costo di copertina di 36 Euro, spese di spedizione, a copia, 5 euro escluse.</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118" w:line="242" w:lineRule="auto"/>
        <w:ind w:left="0" w:right="12609"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Per i dipendenti del Gruppo F.S. e dipendenti dei gestori ed operatori di reti ferroviarie regionali o locali, il libro viene offerto ad Euro 30 a copia.</w:t>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115"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Sono previsti sconti secondo quantità acquistata.</w:t>
      </w: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118" w:line="240"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Chi vuole informazioni o è interessato all’acquisto per corrispondenza, può inviare una mail ad Atlante</w:t>
      </w:r>
      <w:r w:rsidDel="00000000" w:rsidR="00000000" w:rsidRPr="00000000">
        <w:rPr>
          <w:rtl w:val="0"/>
        </w:rPr>
      </w:r>
    </w:p>
    <w:p w:rsidR="00000000" w:rsidDel="00000000" w:rsidP="00000000" w:rsidRDefault="00000000" w:rsidRPr="00000000" w14:paraId="00000008">
      <w:pPr>
        <w:tabs>
          <w:tab w:val="left" w:pos="618"/>
        </w:tabs>
        <w:spacing w:before="4" w:lineRule="auto"/>
        <w:contextualSpacing w:val="0"/>
        <w:rPr>
          <w:b w:val="1"/>
          <w:sz w:val="24"/>
          <w:szCs w:val="24"/>
        </w:rPr>
      </w:pPr>
      <w:r w:rsidDel="00000000" w:rsidR="00000000" w:rsidRPr="00000000">
        <w:rPr>
          <w:color w:val="231f20"/>
          <w:sz w:val="24"/>
          <w:szCs w:val="24"/>
          <w:rtl w:val="0"/>
        </w:rPr>
        <w:t xml:space="preserve">con sede a Imola (BO) – mail: </w:t>
      </w:r>
      <w:hyperlink r:id="rId6">
        <w:r w:rsidDel="00000000" w:rsidR="00000000" w:rsidRPr="00000000">
          <w:rPr>
            <w:b w:val="1"/>
            <w:color w:val="231f20"/>
            <w:sz w:val="24"/>
            <w:szCs w:val="24"/>
            <w:rtl w:val="0"/>
          </w:rPr>
          <w:t xml:space="preserve">atlante@atlanteimola.it</w:t>
        </w:r>
      </w:hyperlink>
      <w:r w:rsidDel="00000000" w:rsidR="00000000" w:rsidRPr="00000000">
        <w:rPr>
          <w:rtl w:val="0"/>
        </w:rPr>
      </w:r>
    </w:p>
    <w:p w:rsidR="00000000" w:rsidDel="00000000" w:rsidP="00000000" w:rsidRDefault="00000000" w:rsidRPr="00000000" w14:paraId="00000009">
      <w:pPr>
        <w:spacing w:before="117" w:lineRule="auto"/>
        <w:contextualSpacing w:val="0"/>
        <w:rPr>
          <w:b w:val="1"/>
          <w:sz w:val="24"/>
          <w:szCs w:val="24"/>
        </w:rPr>
      </w:pPr>
      <w:r w:rsidDel="00000000" w:rsidR="00000000" w:rsidRPr="00000000">
        <w:rPr>
          <w:color w:val="231f20"/>
          <w:sz w:val="24"/>
          <w:szCs w:val="24"/>
          <w:rtl w:val="0"/>
        </w:rPr>
        <w:t xml:space="preserve">Per sapere di più visiti il nostro sito: </w:t>
      </w:r>
      <w:hyperlink r:id="rId7">
        <w:r w:rsidDel="00000000" w:rsidR="00000000" w:rsidRPr="00000000">
          <w:rPr>
            <w:b w:val="1"/>
            <w:color w:val="231f20"/>
            <w:sz w:val="24"/>
            <w:szCs w:val="24"/>
            <w:rtl w:val="0"/>
          </w:rPr>
          <w:t xml:space="preserve">www.atlanteimola.it</w:t>
        </w:r>
      </w:hyperlink>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0F">
      <w:pPr>
        <w:contextualSpacing w:val="0"/>
        <w:rPr>
          <w:sz w:val="23"/>
          <w:szCs w:val="23"/>
        </w:rPr>
        <w:sectPr>
          <w:pgSz w:h="16840" w:w="23820"/>
          <w:pgMar w:bottom="0" w:top="0" w:left="700" w:right="0" w:header="720" w:footer="720"/>
          <w:pgNumType w:start="1"/>
        </w:sect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1"/>
          <w:i w:val="0"/>
          <w:smallCaps w:val="0"/>
          <w:strike w:val="0"/>
          <w:color w:val="000000"/>
          <w:sz w:val="40"/>
          <w:szCs w:val="4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contextualSpacing w:val="0"/>
        <w:jc w:val="left"/>
        <w:rPr>
          <w:rFonts w:ascii="Times New Roman" w:cs="Times New Roman" w:eastAsia="Times New Roman" w:hAnsi="Times New Roman"/>
          <w:b w:val="1"/>
          <w:i w:val="0"/>
          <w:smallCaps w:val="0"/>
          <w:strike w:val="0"/>
          <w:color w:val="000000"/>
          <w:sz w:val="44"/>
          <w:szCs w:val="44"/>
          <w:u w:val="none"/>
          <w:shd w:fill="auto" w:val="clear"/>
          <w:vertAlign w:val="baseline"/>
        </w:rPr>
      </w:pPr>
      <w:r w:rsidDel="00000000" w:rsidR="00000000" w:rsidRPr="00000000">
        <w:rPr>
          <w:rtl w:val="0"/>
        </w:rPr>
      </w:r>
    </w:p>
    <w:p w:rsidR="00000000" w:rsidDel="00000000" w:rsidP="00000000" w:rsidRDefault="00000000" w:rsidRPr="00000000" w14:paraId="00000013">
      <w:pPr>
        <w:spacing w:before="72" w:lineRule="auto"/>
        <w:ind w:left="153" w:right="15705"/>
        <w:contextualSpacing w:val="0"/>
        <w:jc w:val="center"/>
        <w:rPr>
          <w:b w:val="1"/>
          <w:sz w:val="77"/>
          <w:szCs w:val="77"/>
        </w:rPr>
      </w:pPr>
      <w:r w:rsidDel="00000000" w:rsidR="00000000" w:rsidRPr="00000000">
        <w:br w:type="column"/>
      </w:r>
      <w:r w:rsidDel="00000000" w:rsidR="00000000" w:rsidRPr="00000000">
        <w:rPr>
          <w:b w:val="1"/>
          <w:color w:val="ffffff"/>
          <w:sz w:val="77"/>
          <w:szCs w:val="77"/>
          <w:shd w:fill="3b51a3" w:val="clear"/>
          <w:rtl w:val="0"/>
        </w:rPr>
        <w:t xml:space="preserve">ATLANTE</w:t>
      </w:r>
      <w:r w:rsidDel="00000000" w:rsidR="00000000" w:rsidRPr="00000000">
        <w:rPr>
          <w:rtl w:val="0"/>
        </w:rPr>
      </w:r>
    </w:p>
    <w:p w:rsidR="00000000" w:rsidDel="00000000" w:rsidP="00000000" w:rsidRDefault="00000000" w:rsidRPr="00000000" w14:paraId="00000014">
      <w:pPr>
        <w:spacing w:before="7" w:lineRule="auto"/>
        <w:ind w:left="153" w:right="15840"/>
        <w:contextualSpacing w:val="0"/>
        <w:jc w:val="center"/>
        <w:rPr>
          <w:sz w:val="11"/>
          <w:szCs w:val="11"/>
        </w:rPr>
      </w:pPr>
      <w:r w:rsidDel="00000000" w:rsidR="00000000" w:rsidRPr="00000000">
        <w:rPr>
          <w:color w:val="2d2c76"/>
          <w:sz w:val="11"/>
          <w:szCs w:val="11"/>
          <w:rtl w:val="0"/>
        </w:rPr>
        <w:t xml:space="preserve">consulenze trasporti pubblici servizi ferroviari/editoria per formazione professionale</w:t>
      </w:r>
      <w:r w:rsidDel="00000000" w:rsidR="00000000" w:rsidRPr="00000000">
        <w:rPr>
          <w:rtl w:val="0"/>
        </w:rPr>
      </w:r>
    </w:p>
    <w:p w:rsidR="00000000" w:rsidDel="00000000" w:rsidP="00000000" w:rsidRDefault="00000000" w:rsidRPr="00000000" w14:paraId="00000015">
      <w:pPr>
        <w:contextualSpacing w:val="0"/>
        <w:jc w:val="center"/>
        <w:rPr>
          <w:sz w:val="11"/>
          <w:szCs w:val="11"/>
        </w:rPr>
        <w:sectPr>
          <w:type w:val="continuous"/>
          <w:pgSz w:h="16840" w:w="23820"/>
          <w:pgMar w:bottom="0" w:top="0" w:left="700" w:right="0" w:header="720" w:footer="720"/>
          <w:cols w:equalWidth="0" w:num="2">
            <w:col w:space="1448" w:w="10836"/>
            <w:col w:space="0" w:w="10836"/>
          </w:cols>
        </w:sectPr>
      </w:pPr>
      <w:r w:rsidDel="00000000" w:rsidR="00000000" w:rsidRPr="00000000">
        <w:rPr>
          <w:rtl w:val="0"/>
        </w:rPr>
      </w:r>
    </w:p>
    <w:p w:rsidR="00000000" w:rsidDel="00000000" w:rsidP="00000000" w:rsidRDefault="00000000" w:rsidRPr="00000000" w14:paraId="00000016">
      <w:pPr>
        <w:spacing w:before="88" w:line="249" w:lineRule="auto"/>
        <w:ind w:left="150" w:right="12753"/>
        <w:contextualSpacing w:val="0"/>
        <w:jc w:val="both"/>
        <w:rPr>
          <w:rFonts w:ascii="Arial" w:cs="Arial" w:eastAsia="Arial" w:hAnsi="Arial"/>
          <w:sz w:val="20"/>
          <w:szCs w:val="20"/>
        </w:rPr>
      </w:pPr>
      <w:r w:rsidDel="00000000" w:rsidR="00000000" w:rsidRPr="00000000">
        <w:rPr>
          <w:rFonts w:ascii="Arial" w:cs="Arial" w:eastAsia="Arial" w:hAnsi="Arial"/>
          <w:color w:val="231f20"/>
          <w:sz w:val="20"/>
          <w:szCs w:val="20"/>
          <w:rtl w:val="0"/>
        </w:rPr>
        <w:t xml:space="preserve"> </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7115492</wp:posOffset>
            </wp:positionH>
            <wp:positionV relativeFrom="paragraph">
              <wp:posOffset>0</wp:posOffset>
            </wp:positionV>
            <wp:extent cx="7559993" cy="10692003"/>
            <wp:effectExtent b="0" l="0" r="0" t="0"/>
            <wp:wrapNone/>
            <wp:docPr id="1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7559993" cy="10692003"/>
                    </a:xfrm>
                    <a:prstGeom prst="rect"/>
                    <a:ln/>
                  </pic:spPr>
                </pic:pic>
              </a:graphicData>
            </a:graphic>
          </wp:anchor>
        </w:drawing>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Arial" w:cs="Arial" w:eastAsia="Arial" w:hAnsi="Arial"/>
          <w:sz w:val="20"/>
          <w:szCs w:val="20"/>
        </w:rPr>
        <w:sectPr>
          <w:type w:val="continuous"/>
          <w:pgSz w:h="16840" w:w="23820"/>
          <w:pgMar w:bottom="0" w:top="0" w:left="700" w:right="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spacing w:before="60" w:lineRule="auto"/>
        <w:contextualSpacing w:val="0"/>
        <w:rPr/>
      </w:pPr>
      <w:r w:rsidDel="00000000" w:rsidR="00000000" w:rsidRPr="00000000">
        <w:rPr>
          <w:color w:val="144e8c"/>
          <w:rtl w:val="0"/>
        </w:rPr>
        <w:t xml:space="preserve">INDICE SINTETICO</w:t>
      </w:r>
      <w:r w:rsidDel="00000000" w:rsidR="00000000" w:rsidRPr="00000000">
        <w:rPr>
          <w:rtl w:val="0"/>
        </w:rPr>
      </w:r>
      <w:r w:rsidDel="00000000" w:rsidR="00000000" w:rsidRPr="00000000">
        <w:pict>
          <v:shape id="_x0000_s1026" style="position:absolute;left:0;text-align:left;margin-left:5.0pt;margin-top:57.2pt;width:508.9pt;height:519.1pt;z-index:1048;mso-position-horizontal-relative:marginage" filled="f" stroked="f" type="#_x0000_t202">
            <v:textbox inset="0,0,0,0">
              <w:txbxContent>
                <w:tbl>
                  <w:tblPr>
                    <w:tblStyle w:val="TableNormal"/>
                    <w:tblW w:w="0.0" w:type="auto"/>
                    <w:tblLayout w:type="fixed"/>
                    <w:tblLook w:val="01E0"/>
                  </w:tblPr>
                  <w:tblGrid>
                    <w:gridCol w:w="1498"/>
                    <w:gridCol w:w="7274"/>
                    <w:gridCol w:w="1405"/>
                  </w:tblGrid>
                  <w:tr w:rsidR="00A93690">
                    <w:trPr>
                      <w:trHeight w:val="280"/>
                    </w:trPr>
                    <w:tc>
                      <w:tcPr>
                        <w:tcW w:w="1498.0" w:type="dxa"/>
                      </w:tcPr>
                      <w:p w:rsidR="00A93690" w:rsidDel="00000000" w:rsidP="00000000" w:rsidRDefault="00722249" w:rsidRPr="00000000">
                        <w:pPr>
                          <w:pStyle w:val="TableParagraph"/>
                          <w:spacing w:before="0" w:line="244" w:lineRule="exact"/>
                          <w:ind w:left="50"/>
                        </w:pPr>
                        <w:proofErr w:type="spellStart"/>
                        <w:r w:rsidDel="00000000" w:rsidR="00000000" w:rsidRPr="00000000">
                          <w:rPr>
                            <w:color w:val="231f20"/>
                          </w:rPr>
                          <w:t>Prefazione</w:t>
                        </w:r>
                        <w:proofErr w:type="spellEnd"/>
                      </w:p>
                    </w:tc>
                    <w:tc>
                      <w:tcPr>
                        <w:tcW w:w="7274.0" w:type="dxa"/>
                      </w:tcPr>
                      <w:p w:rsidR="00A93690" w:rsidDel="00000000" w:rsidP="00000000" w:rsidRDefault="00722249" w:rsidRPr="00000000">
                        <w:pPr>
                          <w:pStyle w:val="TableParagraph"/>
                          <w:spacing w:before="0" w:line="244" w:lineRule="exact"/>
                          <w:ind w:left="91"/>
                        </w:pPr>
                        <w:r w:rsidDel="00000000" w:rsidR="00000000" w:rsidRPr="00000000">
                          <w:rPr>
                            <w:color w:val="231f20"/>
                          </w:rPr>
                          <w:t xml:space="preserve">di Carlo </w:t>
                        </w:r>
                        <w:proofErr w:type="spellStart"/>
                        <w:r w:rsidDel="00000000" w:rsidR="00000000" w:rsidRPr="00000000">
                          <w:rPr>
                            <w:color w:val="231f20"/>
                          </w:rPr>
                          <w:t>Ped</w:t>
                        </w:r>
                        <w:r w:rsidDel="00000000" w:rsidR="00000000" w:rsidRPr="00000000">
                          <w:rPr>
                            <w:color w:val="231f20"/>
                          </w:rPr>
                          <w:t>razzini</w:t>
                        </w:r>
                        <w:proofErr w:type="spellEnd"/>
                      </w:p>
                    </w:tc>
                    <w:tc>
                      <w:tcPr>
                        <w:tcW w:w="1405.0" w:type="dxa"/>
                      </w:tcPr>
                      <w:p w:rsidR="00A93690" w:rsidDel="00000000" w:rsidP="00000000" w:rsidRDefault="00722249" w:rsidRPr="00000000">
                        <w:pPr>
                          <w:pStyle w:val="TableParagraph"/>
                          <w:spacing w:before="0" w:line="244" w:lineRule="exact"/>
                          <w:ind w:right="157"/>
                          <w:jc w:val="right"/>
                        </w:pPr>
                        <w:proofErr w:type="spellStart"/>
                        <w:r w:rsidDel="00000000" w:rsidR="00000000" w:rsidRPr="00000000">
                          <w:rPr>
                            <w:color w:val="231f20"/>
                          </w:rPr>
                          <w:t>pag</w:t>
                        </w:r>
                        <w:proofErr w:type="spellEnd"/>
                        <w:r w:rsidDel="00000000" w:rsidR="00000000" w:rsidRPr="00000000">
                          <w:rPr>
                            <w:color w:val="231f20"/>
                          </w:rPr>
                          <w:t>. 12</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Introduzione</w:t>
                        </w:r>
                        <w:proofErr w:type="spellEnd"/>
                      </w:p>
                    </w:tc>
                    <w:tc>
                      <w:tcPr>
                        <w:tcW w:w="7274.0" w:type="dxa"/>
                      </w:tcPr>
                      <w:p w:rsidR="00A93690" w:rsidDel="00000000" w:rsidP="00000000" w:rsidRDefault="00722249" w:rsidRPr="00000000">
                        <w:pPr>
                          <w:pStyle w:val="TableParagraph"/>
                          <w:ind w:left="91"/>
                        </w:pPr>
                        <w:r w:rsidDel="00000000" w:rsidR="00000000" w:rsidRPr="00000000">
                          <w:rPr>
                            <w:color w:val="231f20"/>
                          </w:rPr>
                          <w:t xml:space="preserve">di Roberto </w:t>
                        </w:r>
                        <w:proofErr w:type="spellStart"/>
                        <w:r w:rsidDel="00000000" w:rsidR="00000000" w:rsidRPr="00000000">
                          <w:rPr>
                            <w:color w:val="231f20"/>
                          </w:rPr>
                          <w:t>Trombetta</w:t>
                        </w:r>
                        <w:proofErr w:type="spellEnd"/>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14</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1</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La misura del Tempo - Dalle ore canoniche all’ora ferroviaria unificata</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17</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2</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Gli orologi ferroviari dell’800 - L’orologio come strumento di lavoro</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27</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3</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L’orologio del Capotreno - Il meccanismo di piombatura</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35</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4</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L’orologio da tasca Roskopf - Storia e collocazione nell’ambito ferroviario</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41</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000000">
                        <w:pPr>
                          <w:pStyle w:val="TableParagraph"/>
                          <w:ind w:left="91"/>
                        </w:pPr>
                        <w:proofErr w:type="spellStart"/>
                        <w:r w:rsidDel="00000000" w:rsidR="00000000" w:rsidRPr="00000000">
                          <w:rPr>
                            <w:color w:val="231f20"/>
                          </w:rPr>
                          <w:t>L’orologiaio</w:t>
                        </w:r>
                        <w:proofErr w:type="spellEnd"/>
                        <w:r w:rsidDel="00000000" w:rsidR="00000000" w:rsidRPr="00000000">
                          <w:rPr>
                            <w:color w:val="231f20"/>
                          </w:rPr>
                          <w:t xml:space="preserve"> Adolfo </w:t>
                        </w:r>
                        <w:proofErr w:type="spellStart"/>
                        <w:r w:rsidDel="00000000" w:rsidR="00000000" w:rsidRPr="00000000">
                          <w:rPr>
                            <w:color w:val="231f20"/>
                          </w:rPr>
                          <w:t>Mazzeranghi</w:t>
                        </w:r>
                        <w:proofErr w:type="spellEnd"/>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49</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Le tramvie - Il tempo nei servizi tramviari urbani - Guido Magenta</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53</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5</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 xml:space="preserve">Le Ferrovie Italiane - </w:t>
                        </w:r>
                        <w:r w:rsidDel="00000000" w:rsidR="00000000" w:rsidRPr="00722249">
                          <w:rPr>
                            <w:color w:val="231f20"/>
                            <w:lang w:val="it-IT"/>
                          </w:rPr>
                          <w:t>Gli orologi delle strade ferrate minori</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55</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Quello che rimane del tempo</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83</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000000">
                        <w:pPr>
                          <w:pStyle w:val="TableParagraph"/>
                          <w:ind w:left="91"/>
                        </w:pPr>
                        <w:r w:rsidDel="00000000" w:rsidR="00000000" w:rsidRPr="00000000">
                          <w:rPr>
                            <w:color w:val="231f20"/>
                          </w:rPr>
                          <w:t xml:space="preserve">Railroads &amp; Watches - Giovanni </w:t>
                        </w:r>
                        <w:proofErr w:type="spellStart"/>
                        <w:r w:rsidDel="00000000" w:rsidR="00000000" w:rsidRPr="00000000">
                          <w:rPr>
                            <w:color w:val="231f20"/>
                          </w:rPr>
                          <w:t>Ambrogio</w:t>
                        </w:r>
                        <w:proofErr w:type="spellEnd"/>
                        <w:r w:rsidDel="00000000" w:rsidR="00000000" w:rsidRPr="00000000">
                          <w:rPr>
                            <w:color w:val="231f20"/>
                          </w:rPr>
                          <w:t xml:space="preserve"> &amp; Thomas König</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87</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6</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Le Ferrovie Italiane - Gli orologi da tasca delle Ferrovie dello Stato (F.S.)</w:t>
                        </w:r>
                      </w:p>
                    </w:tc>
                    <w:tc>
                      <w:tcPr>
                        <w:tcW w:w="1405.0" w:type="dxa"/>
                      </w:tcPr>
                      <w:p w:rsidR="00A93690" w:rsidDel="00000000" w:rsidP="00000000" w:rsidRDefault="00722249" w:rsidRPr="00000000">
                        <w:pPr>
                          <w:pStyle w:val="TableParagraph"/>
                          <w:ind w:right="157"/>
                          <w:jc w:val="right"/>
                        </w:pPr>
                        <w:proofErr w:type="spellStart"/>
                        <w:r w:rsidDel="00000000" w:rsidR="00000000" w:rsidRPr="00000000">
                          <w:rPr>
                            <w:color w:val="231f20"/>
                          </w:rPr>
                          <w:t>pag</w:t>
                        </w:r>
                        <w:proofErr w:type="spellEnd"/>
                        <w:r w:rsidDel="00000000" w:rsidR="00000000" w:rsidRPr="00000000">
                          <w:rPr>
                            <w:color w:val="231f20"/>
                          </w:rPr>
                          <w:t>. 93</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La matricola ferroviaria: una questione di numeri</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123</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7</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Le Ferrovie Italiane - Gli orologi da polso delle Ferrovie dello Stato (F.S.)</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131</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L’orologio automatico delle F.S.</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139</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Progetto per un orologio per il personale femminile</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145</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Eberhard &amp; Co e le Ferrovie dello</w:t>
                        </w:r>
                        <w:r w:rsidDel="00000000" w:rsidR="00000000" w:rsidRPr="00722249">
                          <w:rPr>
                            <w:color w:val="231f20"/>
                            <w:lang w:val="it-IT"/>
                          </w:rPr>
                          <w:t xml:space="preserve"> Stato</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147</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8</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Come riconoscere un orologio ferroviario - Istruzioni per l’uso</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149</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Pubblicità d’altri tempi - L’orologio e il treno - Claudio Pedrazzini</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157</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Evoluzione del marchio F.S. negli orologi ferroviari</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159</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Capitolo</w:t>
                        </w:r>
                        <w:proofErr w:type="spellEnd"/>
                        <w:r w:rsidDel="00000000" w:rsidR="00000000" w:rsidRPr="00000000">
                          <w:rPr>
                            <w:color w:val="231f20"/>
                          </w:rPr>
                          <w:t xml:space="preserve"> 9</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Perseo - Storia di un marchio italiano</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161</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Gli strumenti per la piombatura degli orologi</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171</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Hausmann &amp; Co e le Ferrovie</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175</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Allegato</w:t>
                        </w:r>
                        <w:proofErr w:type="spellEnd"/>
                        <w:r w:rsidDel="00000000" w:rsidR="00000000" w:rsidRPr="00000000">
                          <w:rPr>
                            <w:color w:val="231f20"/>
                          </w:rPr>
                          <w:t xml:space="preserve"> 1</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Brevetto Michaelsen - Il meccanismo di blocco della rimessa dell’ora</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179</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Allegato</w:t>
                        </w:r>
                        <w:proofErr w:type="spellEnd"/>
                        <w:r w:rsidDel="00000000" w:rsidR="00000000" w:rsidRPr="00000000">
                          <w:rPr>
                            <w:color w:val="231f20"/>
                          </w:rPr>
                          <w:t xml:space="preserve"> 2</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Capitolato speciale tecnico 1927 - Fornitura di orologi da tasca</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183</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Allegato</w:t>
                        </w:r>
                        <w:proofErr w:type="spellEnd"/>
                        <w:r w:rsidDel="00000000" w:rsidR="00000000" w:rsidRPr="00000000">
                          <w:rPr>
                            <w:color w:val="231f20"/>
                          </w:rPr>
                          <w:t xml:space="preserve"> 3</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Capitolato speciale tecnico 1966 - Fornitura di orologi da polso</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w:t>
                        </w:r>
                        <w:r w:rsidDel="00000000" w:rsidR="00000000" w:rsidRPr="00000000">
                          <w:rPr>
                            <w:color w:val="231f20"/>
                          </w:rPr>
                          <w:t xml:space="preserve"> 189</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Allegato</w:t>
                        </w:r>
                        <w:proofErr w:type="spellEnd"/>
                        <w:r w:rsidDel="00000000" w:rsidR="00000000" w:rsidRPr="00000000">
                          <w:rPr>
                            <w:color w:val="231f20"/>
                          </w:rPr>
                          <w:t xml:space="preserve"> 4</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Capitolato speciale tecnico 1979 - Fornitura di orologi da tasca</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195</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Allegato</w:t>
                        </w:r>
                        <w:proofErr w:type="spellEnd"/>
                        <w:r w:rsidDel="00000000" w:rsidR="00000000" w:rsidRPr="00000000">
                          <w:rPr>
                            <w:color w:val="231f20"/>
                          </w:rPr>
                          <w:t xml:space="preserve"> 5</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Regolamento e Circolari - Riassunto delle normative nel corso degli anni</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201</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Allegato</w:t>
                        </w:r>
                        <w:proofErr w:type="spellEnd"/>
                        <w:r w:rsidDel="00000000" w:rsidR="00000000" w:rsidRPr="00000000">
                          <w:rPr>
                            <w:color w:val="231f20"/>
                          </w:rPr>
                          <w:t xml:space="preserve"> 6</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Schede tecniche - I movimenti degli orologi</w:t>
                        </w: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207</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Allegato</w:t>
                        </w:r>
                        <w:proofErr w:type="spellEnd"/>
                        <w:r w:rsidDel="00000000" w:rsidR="00000000" w:rsidRPr="00000000">
                          <w:rPr>
                            <w:color w:val="231f20"/>
                          </w:rPr>
                          <w:t xml:space="preserve"> 7</w:t>
                        </w:r>
                      </w:p>
                    </w:tc>
                    <w:tc>
                      <w:tcPr>
                        <w:tcW w:w="7274.0" w:type="dxa"/>
                      </w:tcPr>
                      <w:p w:rsidR="00A93690" w:rsidDel="00000000" w:rsidP="00000000" w:rsidRDefault="00722249" w:rsidRPr="00722249">
                        <w:pPr>
                          <w:pStyle w:val="TableParagraph"/>
                          <w:ind w:left="91"/>
                          <w:rPr>
                            <w:lang w:val="it-IT"/>
                          </w:rPr>
                        </w:pPr>
                        <w:r w:rsidDel="00000000" w:rsidR="00000000" w:rsidRPr="00722249">
                          <w:rPr>
                            <w:color w:val="231f20"/>
                            <w:lang w:val="it-IT"/>
                          </w:rPr>
                          <w:t>Hausmann &amp; Co - I contratti di manutenzione con le Ferrovie</w:t>
                        </w:r>
                      </w:p>
                    </w:tc>
                    <w:tc>
                      <w:tcPr>
                        <w:tcW w:w="1405.0" w:type="dxa"/>
                      </w:tcPr>
                      <w:p w:rsidR="00A93690" w:rsidDel="00000000" w:rsidP="00000000" w:rsidRDefault="00722249" w:rsidRPr="00000000">
                        <w:pPr>
                          <w:pStyle w:val="TableParagraph"/>
                          <w:ind w:right="55"/>
                          <w:jc w:val="right"/>
                        </w:pPr>
                        <w:proofErr w:type="spellStart"/>
                        <w:r w:rsidDel="00000000" w:rsidR="00000000" w:rsidRPr="00000000">
                          <w:rPr>
                            <w:color w:val="231f20"/>
                          </w:rPr>
                          <w:t>pag</w:t>
                        </w:r>
                        <w:proofErr w:type="spellEnd"/>
                        <w:r w:rsidDel="00000000" w:rsidR="00000000" w:rsidRPr="00000000">
                          <w:rPr>
                            <w:color w:val="231f20"/>
                          </w:rPr>
                          <w:t>. 211</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Curiosità</w:t>
                        </w:r>
                        <w:proofErr w:type="spellEnd"/>
                      </w:p>
                    </w:tc>
                    <w:tc>
                      <w:tcPr>
                        <w:tcW w:w="7274.0" w:type="dxa"/>
                      </w:tcPr>
                      <w:p w:rsidR="00A93690" w:rsidDel="00000000" w:rsidP="00000000" w:rsidRDefault="00722249" w:rsidRPr="00000000">
                        <w:pPr>
                          <w:pStyle w:val="TableParagraph"/>
                          <w:ind w:left="91"/>
                        </w:pPr>
                        <w:proofErr w:type="spellStart"/>
                        <w:r w:rsidDel="00000000" w:rsidR="00000000" w:rsidRPr="00000000">
                          <w:rPr>
                            <w:color w:val="231f20"/>
                          </w:rPr>
                          <w:t>L’orologiaio</w:t>
                        </w:r>
                        <w:proofErr w:type="spellEnd"/>
                        <w:r w:rsidDel="00000000" w:rsidR="00000000" w:rsidRPr="00000000">
                          <w:rPr>
                            <w:color w:val="231f20"/>
                          </w:rPr>
                          <w:t xml:space="preserve"> Ubaldo </w:t>
                        </w:r>
                        <w:proofErr w:type="spellStart"/>
                        <w:r w:rsidDel="00000000" w:rsidR="00000000" w:rsidRPr="00000000">
                          <w:rPr>
                            <w:color w:val="231f20"/>
                          </w:rPr>
                          <w:t>Ubaldi</w:t>
                        </w:r>
                        <w:proofErr w:type="spellEnd"/>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217</w:t>
                        </w:r>
                      </w:p>
                    </w:tc>
                  </w:tr>
                  <w:tr w:rsidR="00A93690">
                    <w:trPr>
                      <w:trHeight w:val="316"/>
                    </w:trPr>
                    <w:tc>
                      <w:tcPr>
                        <w:tcW w:w="1498.0" w:type="dxa"/>
                      </w:tcPr>
                      <w:p w:rsidR="00A93690" w:rsidDel="00000000" w:rsidP="00000000" w:rsidRDefault="00722249" w:rsidRPr="00000000">
                        <w:pPr>
                          <w:pStyle w:val="TableParagraph"/>
                          <w:ind w:left="50"/>
                        </w:pPr>
                        <w:proofErr w:type="spellStart"/>
                        <w:r w:rsidDel="00000000" w:rsidR="00000000" w:rsidRPr="00000000">
                          <w:rPr>
                            <w:color w:val="231f20"/>
                          </w:rPr>
                          <w:t>Bibliografia</w:t>
                        </w:r>
                        <w:proofErr w:type="spellEnd"/>
                      </w:p>
                    </w:tc>
                    <w:tc>
                      <w:tcPr>
                        <w:tcW w:w="7274.0" w:type="dxa"/>
                      </w:tcPr>
                      <w:p w:rsidR="00A93690" w:rsidDel="00000000" w:rsidP="00000000" w:rsidRDefault="00A93690" w:rsidRPr="00000000">
                        <w:pPr>
                          <w:pStyle w:val="TableParagraph"/>
                          <w:spacing w:before="0"/>
                        </w:pPr>
                      </w:p>
                    </w:tc>
                    <w:tc>
                      <w:tcPr>
                        <w:tcW w:w="1405.0" w:type="dxa"/>
                      </w:tcPr>
                      <w:p w:rsidR="00A93690" w:rsidDel="00000000" w:rsidP="00000000" w:rsidRDefault="00722249" w:rsidRPr="00000000">
                        <w:pPr>
                          <w:pStyle w:val="TableParagraph"/>
                          <w:ind w:right="47"/>
                          <w:jc w:val="right"/>
                        </w:pPr>
                        <w:proofErr w:type="spellStart"/>
                        <w:r w:rsidDel="00000000" w:rsidR="00000000" w:rsidRPr="00000000">
                          <w:rPr>
                            <w:color w:val="231f20"/>
                          </w:rPr>
                          <w:t>pag</w:t>
                        </w:r>
                        <w:proofErr w:type="spellEnd"/>
                        <w:r w:rsidDel="00000000" w:rsidR="00000000" w:rsidRPr="00000000">
                          <w:rPr>
                            <w:color w:val="231f20"/>
                          </w:rPr>
                          <w:t>. 225</w:t>
                        </w:r>
                      </w:p>
                    </w:tc>
                  </w:tr>
                  <w:tr w:rsidR="00A93690">
                    <w:trPr>
                      <w:trHeight w:val="280"/>
                    </w:trPr>
                    <w:tc>
                      <w:tcPr>
                        <w:tcW w:w="1498.0" w:type="dxa"/>
                      </w:tcPr>
                      <w:p w:rsidR="00A93690" w:rsidDel="00000000" w:rsidP="00000000" w:rsidRDefault="00722249" w:rsidRPr="00000000">
                        <w:pPr>
                          <w:pStyle w:val="TableParagraph"/>
                          <w:spacing w:line="233" w:lineRule="exact"/>
                          <w:ind w:left="50"/>
                        </w:pPr>
                        <w:proofErr w:type="spellStart"/>
                        <w:r w:rsidDel="00000000" w:rsidR="00000000" w:rsidRPr="00000000">
                          <w:rPr>
                            <w:color w:val="231f20"/>
                          </w:rPr>
                          <w:t>Ringraziamenti</w:t>
                        </w:r>
                        <w:proofErr w:type="spellEnd"/>
                      </w:p>
                    </w:tc>
                    <w:tc>
                      <w:tcPr>
                        <w:tcW w:w="7274.0" w:type="dxa"/>
                      </w:tcPr>
                      <w:p w:rsidR="00A93690" w:rsidDel="00000000" w:rsidP="00000000" w:rsidRDefault="00A93690" w:rsidRPr="00000000">
                        <w:pPr>
                          <w:pStyle w:val="TableParagraph"/>
                          <w:spacing w:before="0"/>
                          <w:rPr>
                            <w:sz w:val="20"/>
                          </w:rPr>
                        </w:pPr>
                      </w:p>
                    </w:tc>
                    <w:tc>
                      <w:tcPr>
                        <w:tcW w:w="1405.0" w:type="dxa"/>
                      </w:tcPr>
                      <w:p w:rsidR="00A93690" w:rsidDel="00000000" w:rsidP="00000000" w:rsidRDefault="00722249" w:rsidRPr="00000000">
                        <w:pPr>
                          <w:pStyle w:val="TableParagraph"/>
                          <w:spacing w:line="233" w:lineRule="exact"/>
                          <w:ind w:right="47"/>
                          <w:jc w:val="right"/>
                        </w:pPr>
                        <w:proofErr w:type="spellStart"/>
                        <w:r w:rsidDel="00000000" w:rsidR="00000000" w:rsidRPr="00000000">
                          <w:rPr>
                            <w:color w:val="231f20"/>
                          </w:rPr>
                          <w:t>pag</w:t>
                        </w:r>
                        <w:proofErr w:type="spellEnd"/>
                        <w:r w:rsidDel="00000000" w:rsidR="00000000" w:rsidRPr="00000000">
                          <w:rPr>
                            <w:color w:val="231f20"/>
                          </w:rPr>
                          <w:t>. 227</w:t>
                        </w:r>
                      </w:p>
                    </w:tc>
                  </w:tr>
                </w:tbl>
                <w:p w:rsidR="00A93690" w:rsidDel="00000000" w:rsidP="00000000" w:rsidRDefault="00A93690" w:rsidRPr="00000000">
                  <w:pPr>
                    <w:pStyle w:val="Corpotesto"/>
                  </w:pPr>
                </w:p>
              </w:txbxContent>
            </v:textbox>
            <w10:wrap/>
          </v:shape>
        </w:pict>
      </w:r>
    </w:p>
    <w:p w:rsidR="00000000" w:rsidDel="00000000" w:rsidP="00000000" w:rsidRDefault="00000000" w:rsidRPr="00000000" w14:paraId="00000019">
      <w:pPr>
        <w:spacing w:before="135" w:lineRule="auto"/>
        <w:ind w:left="3838" w:right="4585"/>
        <w:contextualSpacing w:val="0"/>
        <w:jc w:val="center"/>
        <w:rPr>
          <w:b w:val="1"/>
          <w:i w:val="1"/>
          <w:sz w:val="28"/>
          <w:szCs w:val="28"/>
        </w:rPr>
      </w:pPr>
      <w:r w:rsidDel="00000000" w:rsidR="00000000" w:rsidRPr="00000000">
        <w:br w:type="column"/>
      </w:r>
      <w:r w:rsidDel="00000000" w:rsidR="00000000" w:rsidRPr="00000000">
        <w:rPr>
          <w:b w:val="1"/>
          <w:i w:val="1"/>
          <w:color w:val="144e8c"/>
          <w:sz w:val="28"/>
          <w:szCs w:val="28"/>
          <w:rtl w:val="0"/>
        </w:rPr>
        <w:t xml:space="preserve">Roberto TROMBETTA</w:t>
      </w:r>
      <w:r w:rsidDel="00000000" w:rsidR="00000000" w:rsidRPr="00000000">
        <w:rPr>
          <w:rtl w:val="0"/>
        </w:rPr>
      </w:r>
    </w:p>
    <w:p w:rsidR="00000000" w:rsidDel="00000000" w:rsidP="00000000" w:rsidRDefault="00000000" w:rsidRPr="00000000" w14:paraId="0000001A">
      <w:pPr>
        <w:pStyle w:val="Heading1"/>
        <w:spacing w:before="230" w:lineRule="auto"/>
        <w:ind w:left="3343"/>
        <w:contextualSpacing w:val="0"/>
        <w:rPr/>
      </w:pPr>
      <w:r w:rsidDel="00000000" w:rsidR="00000000" w:rsidRPr="00000000">
        <w:rPr>
          <w:color w:val="144e8c"/>
          <w:rtl w:val="0"/>
        </w:rPr>
        <w:t xml:space="preserve">IL TEMPO NEI TRENI</w:t>
      </w:r>
      <w:r w:rsidDel="00000000" w:rsidR="00000000" w:rsidRPr="00000000">
        <w:rPr>
          <w:rtl w:val="0"/>
        </w:rPr>
      </w:r>
    </w:p>
    <w:p w:rsidR="00000000" w:rsidDel="00000000" w:rsidP="00000000" w:rsidRDefault="00000000" w:rsidRPr="00000000" w14:paraId="0000001B">
      <w:pPr>
        <w:spacing w:before="287" w:lineRule="auto"/>
        <w:ind w:left="3621"/>
        <w:contextualSpacing w:val="0"/>
        <w:rPr>
          <w:b w:val="1"/>
          <w:sz w:val="28"/>
          <w:szCs w:val="28"/>
        </w:rPr>
      </w:pPr>
      <w:r w:rsidDel="00000000" w:rsidR="00000000" w:rsidRPr="00000000">
        <w:rPr>
          <w:b w:val="1"/>
          <w:color w:val="144e8c"/>
          <w:sz w:val="28"/>
          <w:szCs w:val="28"/>
          <w:rtl w:val="0"/>
        </w:rPr>
        <w:t xml:space="preserve">Orologi Ferroviari Italiani</w:t>
      </w: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contextualSpacing w:val="0"/>
        <w:jc w:val="left"/>
        <w:rPr>
          <w:rFonts w:ascii="Times New Roman" w:cs="Times New Roman" w:eastAsia="Times New Roman" w:hAnsi="Times New Roman"/>
          <w:b w:val="1"/>
          <w:i w:val="0"/>
          <w:smallCaps w:val="0"/>
          <w:strike w:val="0"/>
          <w:color w:val="000000"/>
          <w:sz w:val="43"/>
          <w:szCs w:val="43"/>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2" w:lineRule="auto"/>
        <w:ind w:left="100" w:right="844" w:firstLine="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Roberto Trombetta, figlio di ferroviere, appassionato di orologi ferroviari e fine collezionista, in questo li- bro illustra, dopo un lungo e meticoloso lavoro di ricerca fatto con passione e competenza, le caratteristiche degli orologi che per quasi un secolo sono stati adottati dalle varie ferrovie in Italia. Lo fa proponendoci, per ogni orologio preso in considerazione, le foto del quadrante, del fondello e del meccanismo interno, corre- dandolo a lato con una scheda specifica. Questo testo non potrà mancare nella biblioteca dei tanti Italiani figli o nipoti di ferroviere, o anche semplicemente parenti stretti di qualcuno che lavorava in Ferrovia, che posseggono un orologio meccanico ferroviario e che vogliono saperne di più.</w:t>
      </w: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123" w:line="242" w:lineRule="auto"/>
        <w:ind w:left="100" w:right="846" w:firstLine="17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Un orologio, che se è da tasca, può essere vecchio anche di novant’anni, spesso ammaccato e male in arnese, ma in alcuni casi ancora vivo che, se ripulito o semplicemente lubrificato, sorprendentemente ri- sponde con un TIC-TAC, se gli si dà la corda. Il libro non è un semplice e mero catalogo, ma è ampiamente arricchito di curiosità, racconti in libertà, che hanno per protagonisti ferrovie, ferrovieri ed orologiai, che ne rendono piacevole la lettura, anche per i semplici appassionati di cose ferroviarie o di costume di altri tempi.</w:t>
      </w: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121" w:line="242" w:lineRule="auto"/>
        <w:ind w:left="100" w:right="845" w:firstLine="17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Con gli orologi ferroviari, si è gestita per molto tempo, la circolazione dei treni, curandone sicurezza e regolarità di marcia. Col passare degli anni, grazie al progressivo perfezionamento della tecnologia di terra e di bordo treno, il ricorso all’orologio, per il personale in servizio, ai fini della sicurezza dell’esercizio ferroviario, è andato scemando. L’orologio si è trasformandosi sempre di più in un accessorio di abbiglia- mento da indossare come fosse un gioiello, non più indispensabile, reso oggigiorno perfino inutile, grazie alla disponibilità dell’ora esatta sullo smartphone o tablet fornito dall’Azienda, o di proprietà personale.</w:t>
      </w:r>
      <w:r w:rsidDel="00000000" w:rsidR="00000000" w:rsidRPr="00000000">
        <w:rPr>
          <w:rtl w:val="0"/>
        </w:rPr>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121" w:line="242" w:lineRule="auto"/>
        <w:ind w:left="100" w:right="847" w:firstLine="170"/>
        <w:contextualSpacing w:val="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31f20"/>
          <w:sz w:val="24"/>
          <w:szCs w:val="24"/>
          <w:u w:val="none"/>
          <w:shd w:fill="auto" w:val="clear"/>
          <w:vertAlign w:val="baseline"/>
          <w:rtl w:val="0"/>
        </w:rPr>
        <w:t xml:space="preserve">Col tempo, i vecchi orologi sono diventati oggetti di moda, da ricercare tra le cianfrusaglie dei mercatini dell’usato, catalogare e riparare per dare loro nuova vita, riscoprendo il fascino del loro ritmato ticchettio, che tanto assomiglia al battito del cuore, che evoca emozioni e, ai più attempati anche il loro vissuto.</w:t>
      </w:r>
      <w:r w:rsidDel="00000000" w:rsidR="00000000" w:rsidRPr="00000000">
        <w:rPr>
          <w:rtl w:val="0"/>
        </w:rPr>
      </w:r>
    </w:p>
    <w:p w:rsidR="00000000" w:rsidDel="00000000" w:rsidP="00000000" w:rsidRDefault="00000000" w:rsidRPr="00000000" w14:paraId="00000021">
      <w:pPr>
        <w:spacing w:line="242" w:lineRule="auto"/>
        <w:contextualSpacing w:val="0"/>
        <w:jc w:val="both"/>
        <w:rPr/>
        <w:sectPr>
          <w:type w:val="continuous"/>
          <w:pgSz w:h="16840" w:w="23820"/>
          <w:pgMar w:bottom="0" w:top="0" w:left="700" w:right="0" w:header="720" w:footer="720"/>
          <w:cols w:equalWidth="0" w:num="2">
            <w:col w:space="1637" w:w="10741.5"/>
            <w:col w:space="0" w:w="10741.5"/>
          </w:cols>
        </w:sect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contextualSpacing w:val="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2C">
      <w:pPr>
        <w:tabs>
          <w:tab w:val="left" w:pos="5405"/>
          <w:tab w:val="left" w:pos="12055"/>
          <w:tab w:val="left" w:pos="15608"/>
          <w:tab w:val="left" w:pos="19170"/>
        </w:tabs>
        <w:ind w:left="2231"/>
        <w:contextualSpacing w:val="0"/>
        <w:rPr>
          <w:sz w:val="20"/>
          <w:szCs w:val="20"/>
        </w:rPr>
      </w:pPr>
      <w:r w:rsidDel="00000000" w:rsidR="00000000" w:rsidRPr="00000000">
        <w:rPr>
          <w:sz w:val="20"/>
          <w:szCs w:val="20"/>
        </w:rPr>
        <w:drawing>
          <wp:inline distB="0" distT="0" distL="0" distR="0">
            <wp:extent cx="1835916" cy="2177415"/>
            <wp:effectExtent b="0" l="0" r="0" t="0"/>
            <wp:docPr id="15"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1835916" cy="2177415"/>
                    </a:xfrm>
                    <a:prstGeom prst="rect"/>
                    <a:ln/>
                  </pic:spPr>
                </pic:pic>
              </a:graphicData>
            </a:graphic>
          </wp:inline>
        </w:drawing>
      </w:r>
      <w:r w:rsidDel="00000000" w:rsidR="00000000" w:rsidRPr="00000000">
        <w:rPr>
          <w:sz w:val="20"/>
          <w:szCs w:val="20"/>
          <w:rtl w:val="0"/>
        </w:rPr>
        <w:tab/>
      </w:r>
      <w:r w:rsidDel="00000000" w:rsidR="00000000" w:rsidRPr="00000000">
        <w:rPr>
          <w:sz w:val="20"/>
          <w:szCs w:val="20"/>
        </w:rPr>
        <w:drawing>
          <wp:inline distB="0" distT="0" distL="0" distR="0">
            <wp:extent cx="1819441" cy="2174557"/>
            <wp:effectExtent b="0" l="0" r="0" t="0"/>
            <wp:docPr id="17"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819441" cy="2174557"/>
                    </a:xfrm>
                    <a:prstGeom prst="rect"/>
                    <a:ln/>
                  </pic:spPr>
                </pic:pic>
              </a:graphicData>
            </a:graphic>
          </wp:inline>
        </w:drawing>
      </w:r>
      <w:r w:rsidDel="00000000" w:rsidR="00000000" w:rsidRPr="00000000">
        <w:rPr>
          <w:sz w:val="20"/>
          <w:szCs w:val="20"/>
          <w:rtl w:val="0"/>
        </w:rPr>
        <w:tab/>
      </w:r>
      <w:r w:rsidDel="00000000" w:rsidR="00000000" w:rsidRPr="00000000">
        <w:rPr>
          <w:sz w:val="33.333333333333336"/>
          <w:szCs w:val="33.333333333333336"/>
          <w:vertAlign w:val="superscript"/>
        </w:rPr>
        <w:drawing>
          <wp:inline distB="0" distT="0" distL="0" distR="0">
            <wp:extent cx="1938203" cy="2316479"/>
            <wp:effectExtent b="0" l="0" r="0" t="0"/>
            <wp:docPr id="16"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1938203" cy="2316479"/>
                    </a:xfrm>
                    <a:prstGeom prst="rect"/>
                    <a:ln/>
                  </pic:spPr>
                </pic:pic>
              </a:graphicData>
            </a:graphic>
          </wp:inline>
        </w:drawing>
      </w:r>
      <w:r w:rsidDel="00000000" w:rsidR="00000000" w:rsidRPr="00000000">
        <w:rPr>
          <w:sz w:val="33.333333333333336"/>
          <w:szCs w:val="33.333333333333336"/>
          <w:vertAlign w:val="superscript"/>
          <w:rtl w:val="0"/>
        </w:rPr>
        <w:tab/>
      </w:r>
      <w:r w:rsidDel="00000000" w:rsidR="00000000" w:rsidRPr="00000000">
        <w:rPr>
          <w:sz w:val="33.333333333333336"/>
          <w:szCs w:val="33.333333333333336"/>
          <w:vertAlign w:val="superscript"/>
        </w:rPr>
        <w:drawing>
          <wp:inline distB="0" distT="0" distL="0" distR="0">
            <wp:extent cx="1963418" cy="2316479"/>
            <wp:effectExtent b="0" l="0" r="0" t="0"/>
            <wp:docPr id="13"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63418" cy="2316479"/>
                    </a:xfrm>
                    <a:prstGeom prst="rect"/>
                    <a:ln/>
                  </pic:spPr>
                </pic:pic>
              </a:graphicData>
            </a:graphic>
          </wp:inline>
        </w:drawing>
      </w:r>
      <w:r w:rsidDel="00000000" w:rsidR="00000000" w:rsidRPr="00000000">
        <w:rPr>
          <w:sz w:val="33.333333333333336"/>
          <w:szCs w:val="33.333333333333336"/>
          <w:vertAlign w:val="superscript"/>
          <w:rtl w:val="0"/>
        </w:rPr>
        <w:tab/>
      </w:r>
      <w:r w:rsidDel="00000000" w:rsidR="00000000" w:rsidRPr="00000000">
        <w:rPr>
          <w:sz w:val="33.333333333333336"/>
          <w:szCs w:val="33.333333333333336"/>
          <w:vertAlign w:val="superscript"/>
        </w:rPr>
        <w:drawing>
          <wp:inline distB="0" distT="0" distL="0" distR="0">
            <wp:extent cx="1966014" cy="2319528"/>
            <wp:effectExtent b="0" l="0" r="0" t="0"/>
            <wp:docPr id="12"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966014" cy="2319528"/>
                    </a:xfrm>
                    <a:prstGeom prst="rect"/>
                    <a:ln/>
                  </pic:spPr>
                </pic:pic>
              </a:graphicData>
            </a:graphic>
          </wp:inline>
        </w:drawing>
      </w:r>
      <w:r w:rsidDel="00000000" w:rsidR="00000000" w:rsidRPr="00000000">
        <w:rPr>
          <w:rtl w:val="0"/>
        </w:rPr>
      </w:r>
    </w:p>
    <w:sectPr>
      <w:type w:val="continuous"/>
      <w:pgSz w:h="16840" w:w="23820"/>
      <w:pgMar w:bottom="0" w:top="0" w:left="700" w:right="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50"/>
    </w:pPr>
    <w:rPr>
      <w:b w:val="1"/>
      <w:sz w:val="36"/>
      <w:szCs w:val="36"/>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Pr>
      <w:rFonts w:ascii="Times New Roman" w:cs="Times New Roman" w:eastAsia="Times New Roman" w:hAnsi="Times New Roman"/>
    </w:rPr>
  </w:style>
  <w:style w:type="paragraph" w:styleId="Titolo1">
    <w:name w:val="heading 1"/>
    <w:basedOn w:val="Normale"/>
    <w:uiPriority w:val="9"/>
    <w:qFormat w:val="1"/>
    <w:pPr>
      <w:ind w:left="150"/>
      <w:outlineLvl w:val="0"/>
    </w:pPr>
    <w:rPr>
      <w:b w:val="1"/>
      <w:bCs w:val="1"/>
      <w:sz w:val="36"/>
      <w:szCs w:val="36"/>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Corpotesto">
    <w:name w:val="Body Text"/>
    <w:basedOn w:val="Normale"/>
    <w:uiPriority w:val="1"/>
    <w:qFormat w:val="1"/>
    <w:rPr>
      <w:sz w:val="24"/>
      <w:szCs w:val="24"/>
    </w:rPr>
  </w:style>
  <w:style w:type="paragraph" w:styleId="Paragrafoelenco">
    <w:name w:val="List Paragraph"/>
    <w:basedOn w:val="Normale"/>
    <w:uiPriority w:val="1"/>
    <w:qFormat w:val="1"/>
    <w:pPr>
      <w:spacing w:before="58"/>
      <w:ind w:left="433" w:hanging="170"/>
    </w:pPr>
    <w:rPr>
      <w:rFonts w:ascii="Arial" w:cs="Arial" w:eastAsia="Arial" w:hAnsi="Arial"/>
    </w:rPr>
  </w:style>
  <w:style w:type="paragraph" w:styleId="TableParagraph" w:customStyle="1">
    <w:name w:val="Table Paragraph"/>
    <w:basedOn w:val="Normale"/>
    <w:uiPriority w:val="1"/>
    <w:qFormat w:val="1"/>
    <w:pPr>
      <w:spacing w:before="27"/>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12.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5" Type="http://schemas.openxmlformats.org/officeDocument/2006/relationships/styles" Target="styles.xml"/><Relationship Id="rId6" Type="http://schemas.openxmlformats.org/officeDocument/2006/relationships/hyperlink" Target="mailto:atlante@atlanteimola.it" TargetMode="External"/><Relationship Id="rId7" Type="http://schemas.openxmlformats.org/officeDocument/2006/relationships/hyperlink" Target="http://www.atlanteimola.it/" TargetMode="External"/><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